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5545BF52" w14:textId="77777777" w:rsidR="0073377E" w:rsidRDefault="00CC5044" w:rsidP="00CC5044">
      <w:pPr>
        <w:shd w:val="clear" w:color="auto" w:fill="DEEAF6"/>
        <w:jc w:val="center"/>
      </w:pPr>
      <w:bookmarkStart w:id="0" w:name="Zakres_procedury"/>
      <w:bookmarkEnd w:id="0"/>
      <w:r w:rsidRPr="00CC5044">
        <w:rPr>
          <w:rFonts w:ascii="Calibri" w:hAnsi="Calibri"/>
          <w:b/>
          <w:bCs/>
          <w:sz w:val="22"/>
          <w:szCs w:val="20"/>
        </w:rPr>
        <w:t>ZA</w:t>
      </w:r>
      <w:r w:rsidRPr="00CC5044">
        <w:rPr>
          <w:rFonts w:ascii="Calibri" w:hAnsi="Calibri"/>
          <w:b/>
          <w:bCs/>
          <w:caps/>
          <w:sz w:val="22"/>
          <w:szCs w:val="20"/>
        </w:rPr>
        <w:t>łącznik nr 7 do SWZ – Umowa powierzenia przetwarzania danych osobowych</w:t>
      </w:r>
      <w:r w:rsidR="0073377E">
        <w:rPr>
          <w:rFonts w:ascii="Calibri" w:hAnsi="Calibri"/>
          <w:b/>
          <w:bCs/>
          <w:caps/>
          <w:sz w:val="22"/>
          <w:szCs w:val="20"/>
        </w:rPr>
        <w:t>/</w:t>
      </w:r>
      <w:r w:rsidR="0073377E" w:rsidRPr="0073377E">
        <w:t xml:space="preserve"> </w:t>
      </w:r>
    </w:p>
    <w:p w14:paraId="6EF42F0A" w14:textId="7AEC45FC" w:rsidR="00CC5044" w:rsidRPr="00CC5044" w:rsidRDefault="0073377E" w:rsidP="00CC5044">
      <w:pPr>
        <w:shd w:val="clear" w:color="auto" w:fill="DEEAF6"/>
        <w:jc w:val="center"/>
        <w:rPr>
          <w:rFonts w:ascii="Calibri" w:eastAsia="Calibri" w:hAnsi="Calibri" w:cs="Arial"/>
          <w:b/>
          <w:bCs/>
          <w:caps/>
          <w:sz w:val="22"/>
          <w:szCs w:val="18"/>
          <w:lang w:eastAsia="en-US"/>
        </w:rPr>
      </w:pPr>
      <w:r w:rsidRPr="0073377E">
        <w:rPr>
          <w:rFonts w:ascii="Calibri" w:hAnsi="Calibri"/>
          <w:b/>
          <w:bCs/>
          <w:caps/>
          <w:sz w:val="22"/>
          <w:szCs w:val="20"/>
        </w:rPr>
        <w:t>ZAŁĄCZNIK NR 5B DO UMOWY</w:t>
      </w:r>
    </w:p>
    <w:p w14:paraId="7DAD31C4" w14:textId="25017117" w:rsidR="00CC5044" w:rsidRPr="00CC5044" w:rsidRDefault="00CC5044" w:rsidP="00CC5044">
      <w:pPr>
        <w:widowControl w:val="0"/>
        <w:adjustRightInd w:val="0"/>
        <w:spacing w:before="240" w:after="160" w:line="259" w:lineRule="auto"/>
        <w:ind w:left="1416" w:hanging="99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r w:rsidRPr="00CC5044">
        <w:rPr>
          <w:rFonts w:eastAsiaTheme="minorHAnsi" w:cs="Arial"/>
          <w:b/>
          <w:szCs w:val="18"/>
          <w:lang w:eastAsia="en-US"/>
        </w:rPr>
        <w:t>Umowa</w:t>
      </w:r>
    </w:p>
    <w:p w14:paraId="785B268F" w14:textId="77777777" w:rsidR="00CC5044" w:rsidRPr="00CC5044" w:rsidRDefault="00CC5044" w:rsidP="00CC5044">
      <w:pPr>
        <w:widowControl w:val="0"/>
        <w:adjustRightInd w:val="0"/>
        <w:spacing w:before="240" w:after="160" w:line="259" w:lineRule="auto"/>
        <w:ind w:left="1416" w:hanging="990"/>
        <w:jc w:val="center"/>
        <w:textAlignment w:val="baseline"/>
        <w:rPr>
          <w:rFonts w:eastAsiaTheme="minorHAnsi" w:cs="Arial"/>
          <w:szCs w:val="18"/>
          <w:lang w:eastAsia="en-US"/>
        </w:rPr>
      </w:pPr>
      <w:r w:rsidRPr="00CC5044">
        <w:rPr>
          <w:rFonts w:eastAsiaTheme="minorHAnsi" w:cs="Arial"/>
          <w:b/>
          <w:szCs w:val="18"/>
          <w:lang w:eastAsia="en-US"/>
        </w:rPr>
        <w:t>powierzenia przetwarzania danych osobowych</w:t>
      </w:r>
    </w:p>
    <w:p w14:paraId="5BE32D9D" w14:textId="047742B1" w:rsidR="00CC5044" w:rsidRPr="00CC5044" w:rsidRDefault="00CC5044" w:rsidP="00CC5044">
      <w:pPr>
        <w:widowControl w:val="0"/>
        <w:adjustRightInd w:val="0"/>
        <w:spacing w:before="240" w:after="160" w:line="259" w:lineRule="auto"/>
        <w:ind w:left="1416" w:hanging="990"/>
        <w:jc w:val="center"/>
        <w:textAlignment w:val="baseline"/>
        <w:rPr>
          <w:rFonts w:eastAsiaTheme="minorHAnsi" w:cs="Arial"/>
          <w:szCs w:val="18"/>
          <w:lang w:eastAsia="en-US"/>
        </w:rPr>
      </w:pPr>
      <w:r w:rsidRPr="00CC5044">
        <w:rPr>
          <w:rFonts w:eastAsiaTheme="minorHAnsi" w:cs="Arial"/>
          <w:szCs w:val="18"/>
          <w:lang w:eastAsia="en-US"/>
        </w:rPr>
        <w:t>st</w:t>
      </w:r>
      <w:r>
        <w:rPr>
          <w:rFonts w:eastAsiaTheme="minorHAnsi" w:cs="Arial"/>
          <w:szCs w:val="18"/>
          <w:lang w:eastAsia="en-US"/>
        </w:rPr>
        <w:t xml:space="preserve">anowiąca Załącznik nr 5b umowy </w:t>
      </w:r>
      <w:r w:rsidR="00072389">
        <w:rPr>
          <w:rFonts w:eastAsiaTheme="minorHAnsi" w:cs="Arial"/>
          <w:szCs w:val="18"/>
          <w:lang w:eastAsia="en-US"/>
        </w:rPr>
        <w:t>…………………………..</w:t>
      </w:r>
    </w:p>
    <w:p w14:paraId="653756CF" w14:textId="2C0E9706" w:rsidR="00130380" w:rsidRDefault="00CC5044" w:rsidP="00CC5044">
      <w:pPr>
        <w:widowControl w:val="0"/>
        <w:adjustRightInd w:val="0"/>
        <w:spacing w:before="240" w:after="160" w:line="259" w:lineRule="auto"/>
        <w:ind w:left="1416" w:hanging="990"/>
        <w:jc w:val="center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 xml:space="preserve">Zawarta dnia </w:t>
      </w:r>
      <w:r w:rsidR="00072389">
        <w:rPr>
          <w:rFonts w:eastAsiaTheme="minorHAnsi" w:cs="Arial"/>
          <w:szCs w:val="18"/>
          <w:lang w:eastAsia="en-US"/>
        </w:rPr>
        <w:t>…………………..</w:t>
      </w:r>
      <w:r w:rsidRPr="00CC5044">
        <w:rPr>
          <w:rFonts w:eastAsiaTheme="minorHAnsi" w:cs="Arial"/>
          <w:szCs w:val="18"/>
          <w:lang w:eastAsia="en-US"/>
        </w:rPr>
        <w:t xml:space="preserve"> w </w:t>
      </w:r>
      <w:r w:rsidR="00072389">
        <w:rPr>
          <w:rFonts w:eastAsiaTheme="minorHAnsi" w:cs="Arial"/>
          <w:b/>
          <w:szCs w:val="18"/>
          <w:lang w:eastAsia="en-US"/>
        </w:rPr>
        <w:t>……………………….</w:t>
      </w:r>
      <w:r w:rsidRPr="00CC5044">
        <w:rPr>
          <w:rFonts w:eastAsiaTheme="minorHAnsi" w:cs="Arial"/>
          <w:szCs w:val="18"/>
          <w:lang w:eastAsia="en-US"/>
        </w:rPr>
        <w:t>, pomiędzy</w:t>
      </w:r>
    </w:p>
    <w:p w14:paraId="03451895" w14:textId="70AD394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0DFEA458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</w:t>
      </w:r>
      <w:r w:rsidR="00CC5044">
        <w:rPr>
          <w:rFonts w:eastAsiaTheme="minorHAnsi" w:cs="Arial"/>
          <w:szCs w:val="18"/>
          <w:lang w:eastAsia="en-US"/>
        </w:rPr>
        <w:t>:</w:t>
      </w:r>
      <w:r w:rsidRPr="00130380">
        <w:rPr>
          <w:rFonts w:eastAsiaTheme="minorHAnsi" w:cs="Arial"/>
          <w:szCs w:val="18"/>
          <w:lang w:eastAsia="en-US"/>
        </w:rPr>
        <w:t xml:space="preserve"> </w:t>
      </w:r>
    </w:p>
    <w:p w14:paraId="15D20A31" w14:textId="10E5FD57" w:rsidR="00CC5044" w:rsidRDefault="00CC5044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6234B97C" w14:textId="77777777" w:rsidR="00CC5044" w:rsidRPr="00130380" w:rsidRDefault="00CC5044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37A62486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5C125C54" w14:textId="413A47BE" w:rsidR="000E664B" w:rsidRDefault="00CC5044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33EF9C9" w14:textId="7D14CD5A" w:rsidR="00CC5044" w:rsidRPr="00130380" w:rsidRDefault="00072389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………………………………………………………………………………………………………</w:t>
      </w:r>
    </w:p>
    <w:p w14:paraId="1C363C9C" w14:textId="1E46D43C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</w:t>
      </w:r>
      <w:r w:rsidR="00CC5044">
        <w:rPr>
          <w:rFonts w:eastAsiaTheme="minorHAnsi" w:cs="Arial"/>
          <w:szCs w:val="18"/>
          <w:lang w:eastAsia="en-US"/>
        </w:rPr>
        <w:t>y</w:t>
      </w:r>
      <w:r w:rsidRPr="00130380">
        <w:rPr>
          <w:rFonts w:eastAsiaTheme="minorHAnsi" w:cs="Arial"/>
          <w:szCs w:val="18"/>
          <w:lang w:eastAsia="en-US"/>
        </w:rPr>
        <w:t xml:space="preserve">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2897FA77" w14:textId="2B8DC499" w:rsidR="00CC5044" w:rsidRDefault="00CC5044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78BBDF2C" w14:textId="77777777" w:rsidR="00CC5044" w:rsidRPr="00130380" w:rsidRDefault="00CC5044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4A2E9F23" w14:textId="6959AE79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0CE57B1D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zawarły umowę </w:t>
      </w:r>
      <w:r w:rsidR="00072389">
        <w:rPr>
          <w:rFonts w:eastAsiaTheme="minorHAnsi" w:cs="Arial"/>
          <w:szCs w:val="18"/>
          <w:lang w:eastAsia="en-US"/>
        </w:rPr>
        <w:t>…………………………………….</w:t>
      </w:r>
      <w:r w:rsidRPr="005E1B98">
        <w:rPr>
          <w:rFonts w:eastAsiaTheme="minorHAnsi" w:cs="Arial"/>
          <w:szCs w:val="18"/>
          <w:lang w:eastAsia="en-US"/>
        </w:rPr>
        <w:t xml:space="preserve">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CC5044">
      <w:pPr>
        <w:spacing w:before="120"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CC5044">
      <w:pPr>
        <w:spacing w:before="120"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3D569135" w:rsidR="00130380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3D0D72A0" w14:textId="77777777" w:rsidR="00CC5044" w:rsidRPr="0035562C" w:rsidRDefault="00CC5044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06A42847" w:rsidR="00130380" w:rsidRPr="001A7E86" w:rsidRDefault="00130380" w:rsidP="00072389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>charakter przetwarzania określony jest następującą rolą Przetwarzającego</w:t>
      </w:r>
      <w:r w:rsidR="00CC5044">
        <w:rPr>
          <w:rFonts w:cs="Arial"/>
          <w:szCs w:val="18"/>
        </w:rPr>
        <w:t>:</w:t>
      </w:r>
      <w:r w:rsidRPr="005E1B98">
        <w:rPr>
          <w:rFonts w:cs="Arial"/>
          <w:szCs w:val="18"/>
        </w:rPr>
        <w:t xml:space="preserve"> </w:t>
      </w:r>
      <w:r w:rsidR="00072389" w:rsidRPr="00072389">
        <w:rPr>
          <w:rFonts w:cs="Arial"/>
          <w:szCs w:val="18"/>
        </w:rPr>
        <w:t>wykonywanie czynności przetwarzania danych w imieniu i na podstawie udokumentowanego polecenia administratora danych</w:t>
      </w:r>
      <w:r w:rsidR="00B647A8">
        <w:rPr>
          <w:rFonts w:cs="Arial"/>
          <w:szCs w:val="18"/>
        </w:rPr>
        <w:t xml:space="preserve">. </w:t>
      </w:r>
    </w:p>
    <w:p w14:paraId="5964578A" w14:textId="3860A65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="00CC5044">
        <w:rPr>
          <w:rFonts w:cs="Arial"/>
          <w:szCs w:val="18"/>
        </w:rPr>
        <w:t>wykonanie robót budowlanych</w:t>
      </w:r>
      <w:r w:rsidR="00B647A8">
        <w:rPr>
          <w:rFonts w:cs="Arial"/>
          <w:szCs w:val="18"/>
        </w:rPr>
        <w:t xml:space="preserve"> </w:t>
      </w:r>
      <w:r w:rsidR="00CC5044">
        <w:rPr>
          <w:rFonts w:cs="Arial"/>
          <w:szCs w:val="18"/>
        </w:rPr>
        <w:t xml:space="preserve"> </w:t>
      </w:r>
      <w:r w:rsidR="00B647A8">
        <w:rPr>
          <w:rFonts w:cs="Arial"/>
          <w:szCs w:val="18"/>
        </w:rPr>
        <w:t>w oparciu o projekt, w którym udostępnione są dane wrażliwe klientów i urzędów.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072389">
        <w:rPr>
          <w:rFonts w:cs="Arial"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072389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 xml:space="preserve">imię i nazwisko </w:t>
      </w:r>
    </w:p>
    <w:p w14:paraId="5BA33CC7" w14:textId="77777777" w:rsidR="00130380" w:rsidRPr="00072389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 xml:space="preserve">adres e-mail </w:t>
      </w:r>
    </w:p>
    <w:p w14:paraId="0D19F94A" w14:textId="77777777" w:rsidR="00130380" w:rsidRPr="00072389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>numery telefonów</w:t>
      </w:r>
    </w:p>
    <w:p w14:paraId="387D4521" w14:textId="79EFAF51" w:rsidR="00130380" w:rsidRPr="00072389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>adres</w:t>
      </w:r>
      <w:r w:rsidR="00B647A8" w:rsidRPr="00072389">
        <w:rPr>
          <w:rFonts w:cs="Arial"/>
          <w:szCs w:val="18"/>
        </w:rPr>
        <w:t>y</w:t>
      </w:r>
      <w:r w:rsidRPr="00072389">
        <w:rPr>
          <w:rFonts w:cs="Arial"/>
          <w:szCs w:val="18"/>
        </w:rPr>
        <w:t xml:space="preserve"> zamieszkania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072389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>pracownicy Administratora i podmiotów stowarzyszonych Administratora</w:t>
      </w:r>
    </w:p>
    <w:p w14:paraId="68F8E88C" w14:textId="77777777" w:rsidR="00130380" w:rsidRPr="00072389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 xml:space="preserve">klienci usługi/produktu Administratora określonych w Umowie Podstawowej  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792D3048" w:rsidR="00130380" w:rsidRPr="00B647A8" w:rsidRDefault="00B647A8" w:rsidP="0098546F">
      <w:pPr>
        <w:numPr>
          <w:ilvl w:val="1"/>
          <w:numId w:val="9"/>
        </w:numPr>
        <w:spacing w:before="120" w:after="120" w:line="360" w:lineRule="auto"/>
        <w:jc w:val="both"/>
        <w:rPr>
          <w:rFonts w:eastAsiaTheme="minorHAnsi" w:cs="Arial"/>
          <w:i/>
          <w:szCs w:val="18"/>
          <w:lang w:eastAsia="en-US"/>
        </w:rPr>
      </w:pPr>
      <w:r w:rsidRPr="00B647A8">
        <w:rPr>
          <w:rFonts w:cs="Arial"/>
          <w:bCs/>
          <w:szCs w:val="18"/>
        </w:rPr>
        <w:t xml:space="preserve">Przetwarzający oświadcza, że nie będzie korzystał z usług </w:t>
      </w:r>
      <w:proofErr w:type="spellStart"/>
      <w:r w:rsidRPr="00B647A8">
        <w:rPr>
          <w:rFonts w:cs="Arial"/>
          <w:bCs/>
          <w:szCs w:val="18"/>
        </w:rPr>
        <w:t>Podprzetwarzających</w:t>
      </w:r>
      <w:proofErr w:type="spellEnd"/>
      <w:r w:rsidRPr="00B647A8">
        <w:rPr>
          <w:rFonts w:cs="Arial"/>
          <w:bCs/>
          <w:szCs w:val="18"/>
        </w:rPr>
        <w:t xml:space="preserve">/ Dalszych Przetwarzających. </w:t>
      </w:r>
      <w:r w:rsidR="00130380" w:rsidRPr="00B647A8">
        <w:rPr>
          <w:rFonts w:cs="Arial"/>
          <w:i/>
          <w:szCs w:val="18"/>
        </w:rPr>
        <w:t xml:space="preserve"> 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3DDF042F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 xml:space="preserve">Strony wskazują poniżej zasady współpracy  w zakresie obsługi Praw jednostki: </w:t>
      </w:r>
      <w:r w:rsidRPr="00B647A8">
        <w:rPr>
          <w:rFonts w:cs="Arial"/>
          <w:szCs w:val="18"/>
        </w:rPr>
        <w:t>Szczegóły obsługi Praw jednostki zostan</w:t>
      </w:r>
      <w:r w:rsidR="00B647A8" w:rsidRPr="00B647A8">
        <w:rPr>
          <w:rFonts w:cs="Arial"/>
          <w:szCs w:val="18"/>
        </w:rPr>
        <w:t>ą pomiędzy Stronami uzgodnione</w:t>
      </w:r>
      <w:r w:rsidRPr="005E1B98">
        <w:rPr>
          <w:rFonts w:cs="Arial"/>
          <w:i/>
          <w:szCs w:val="18"/>
        </w:rPr>
        <w:t>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4767102F" w14:textId="59ABA3FB" w:rsidR="00130380" w:rsidRPr="005E1B98" w:rsidRDefault="00130380" w:rsidP="00B647A8">
      <w:pPr>
        <w:pStyle w:val="Akapitzlist"/>
        <w:spacing w:before="120" w:after="120" w:line="360" w:lineRule="auto"/>
        <w:ind w:left="851"/>
        <w:jc w:val="both"/>
        <w:rPr>
          <w:rFonts w:cs="Arial"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="00B647A8">
        <w:rPr>
          <w:rFonts w:cs="Arial"/>
          <w:szCs w:val="18"/>
        </w:rPr>
        <w:t xml:space="preserve">: </w:t>
      </w:r>
      <w:r w:rsidRPr="00B647A8">
        <w:rPr>
          <w:rFonts w:cs="Arial"/>
          <w:szCs w:val="18"/>
        </w:rPr>
        <w:t xml:space="preserve">Szczegóły współpracy w realizacji obowiązków </w:t>
      </w:r>
      <w:r w:rsidRPr="00B647A8">
        <w:rPr>
          <w:rFonts w:cs="Arial"/>
          <w:szCs w:val="18"/>
        </w:rPr>
        <w:br/>
        <w:t>z obszaru ochrony danych, o którym mowa w art. 32-36 RODO zostaną pomiędzy Stronami uzgodnione</w:t>
      </w:r>
      <w:r w:rsidR="00B647A8" w:rsidRPr="00B647A8">
        <w:rPr>
          <w:rFonts w:cs="Arial"/>
          <w:szCs w:val="18"/>
        </w:rPr>
        <w:t>.</w:t>
      </w: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50CDCC7D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022AC615" w14:textId="77777777" w:rsidR="00072389" w:rsidRPr="0035562C" w:rsidRDefault="00072389" w:rsidP="00072389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lastRenderedPageBreak/>
        <w:t>§ 4 Środowisko Przetwarzania</w:t>
      </w:r>
    </w:p>
    <w:p w14:paraId="5CFEBA97" w14:textId="58464EA3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 xml:space="preserve">Załącznik nr. </w:t>
      </w:r>
      <w:r w:rsidR="00072389">
        <w:rPr>
          <w:rFonts w:cs="Arial"/>
          <w:b/>
          <w:bCs/>
          <w:i/>
          <w:szCs w:val="18"/>
        </w:rPr>
        <w:t>1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42B20B21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B647A8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B647A8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</w:t>
      </w:r>
      <w:r w:rsidR="00B647A8">
        <w:rPr>
          <w:rFonts w:cs="Arial"/>
          <w:szCs w:val="18"/>
        </w:rPr>
        <w:t>podstawowej</w:t>
      </w:r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B647A8" w:rsidRDefault="00411A5A" w:rsidP="00B647A8">
      <w:pPr>
        <w:ind w:left="360"/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lastRenderedPageBreak/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EE46287" w14:textId="1412CD6E" w:rsidR="00130380" w:rsidRPr="00B647A8" w:rsidRDefault="00130380" w:rsidP="00B647A8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  <w:r w:rsidRPr="00B647A8">
        <w:rPr>
          <w:rFonts w:eastAsia="Calibri" w:cs="Arial"/>
          <w:bCs/>
          <w:szCs w:val="18"/>
        </w:rPr>
        <w:t xml:space="preserve">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0F1B5F06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B647A8">
        <w:rPr>
          <w:rFonts w:cs="Arial"/>
          <w:color w:val="212121"/>
          <w:szCs w:val="18"/>
          <w:bdr w:val="none" w:sz="0" w:space="0" w:color="auto" w:frame="1"/>
        </w:rPr>
        <w:t>jej podpisania przez Strony</w:t>
      </w:r>
      <w:r w:rsidR="00B647A8" w:rsidRPr="00B647A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41871C0C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 xml:space="preserve">/ Oddziału Administratora </w:t>
      </w:r>
      <w:r w:rsidR="00B647A8">
        <w:rPr>
          <w:rFonts w:cs="Arial"/>
          <w:color w:val="212121"/>
          <w:szCs w:val="18"/>
          <w:bdr w:val="none" w:sz="0" w:space="0" w:color="auto" w:frame="1"/>
        </w:rPr>
        <w:t>Rzeszów.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lastRenderedPageBreak/>
        <w:t>Załączniki: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4C1BD736" w14:textId="77777777" w:rsidR="00B647A8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7B7060FA" w14:textId="77777777" w:rsidR="00B647A8" w:rsidRDefault="00B647A8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132F754" w14:textId="77777777" w:rsidR="00B647A8" w:rsidRDefault="00B647A8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0F6E1CE3" w14:textId="77777777" w:rsidR="001411D7" w:rsidRDefault="00130380" w:rsidP="00130380">
      <w:pPr>
        <w:spacing w:before="120" w:after="120" w:line="600" w:lineRule="auto"/>
        <w:ind w:firstLine="708"/>
        <w:rPr>
          <w:rFonts w:eastAsiaTheme="minorHAnsi" w:cs="Arial"/>
          <w:color w:val="000000"/>
          <w:szCs w:val="18"/>
          <w:lang w:eastAsia="en-US"/>
        </w:rPr>
      </w:pP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</w:p>
    <w:p w14:paraId="30BEC310" w14:textId="77777777" w:rsidR="001411D7" w:rsidRDefault="001411D7" w:rsidP="00130380">
      <w:pPr>
        <w:spacing w:before="120" w:after="120" w:line="600" w:lineRule="auto"/>
        <w:ind w:firstLine="708"/>
        <w:rPr>
          <w:rFonts w:eastAsiaTheme="minorHAnsi" w:cs="Arial"/>
          <w:color w:val="000000"/>
          <w:szCs w:val="18"/>
          <w:lang w:eastAsia="en-US"/>
        </w:rPr>
      </w:pPr>
    </w:p>
    <w:p w14:paraId="1D78EDE4" w14:textId="4FCAC39A" w:rsidR="00B647A8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24EE50FB" w14:textId="77777777" w:rsidR="00B647A8" w:rsidRDefault="00B647A8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6B35AB9B" w14:textId="77777777" w:rsidR="00B647A8" w:rsidRPr="00B647A8" w:rsidRDefault="00B647A8" w:rsidP="00B647A8">
      <w:pPr>
        <w:spacing w:before="60" w:after="60"/>
        <w:ind w:left="1080"/>
        <w:contextualSpacing/>
        <w:rPr>
          <w:rFonts w:ascii="Calibri" w:hAnsi="Calibri"/>
          <w:b/>
          <w:color w:val="191919"/>
          <w:sz w:val="22"/>
          <w:szCs w:val="20"/>
        </w:rPr>
      </w:pPr>
    </w:p>
    <w:p w14:paraId="05053B34" w14:textId="513EC3B0" w:rsidR="00B647A8" w:rsidRPr="00B647A8" w:rsidRDefault="00B647A8" w:rsidP="00B647A8">
      <w:pPr>
        <w:spacing w:before="60" w:after="60" w:line="480" w:lineRule="auto"/>
        <w:rPr>
          <w:rFonts w:cs="Arial"/>
          <w:b/>
          <w:szCs w:val="18"/>
          <w:u w:val="single"/>
        </w:rPr>
      </w:pPr>
      <w:r w:rsidRPr="00B647A8">
        <w:rPr>
          <w:rFonts w:cs="Arial"/>
          <w:b/>
          <w:szCs w:val="18"/>
          <w:u w:val="single"/>
        </w:rPr>
        <w:t xml:space="preserve">Załącznik nr </w:t>
      </w:r>
      <w:r w:rsidR="00111FFE">
        <w:rPr>
          <w:rFonts w:cs="Arial"/>
          <w:b/>
          <w:szCs w:val="18"/>
          <w:u w:val="single"/>
        </w:rPr>
        <w:t>1</w:t>
      </w:r>
      <w:r w:rsidRPr="00B647A8">
        <w:rPr>
          <w:rFonts w:cs="Arial"/>
          <w:b/>
          <w:szCs w:val="18"/>
          <w:u w:val="single"/>
        </w:rPr>
        <w:t xml:space="preserve"> </w:t>
      </w:r>
    </w:p>
    <w:p w14:paraId="34BCDEAE" w14:textId="77777777" w:rsidR="00B647A8" w:rsidRPr="00B647A8" w:rsidRDefault="00B647A8" w:rsidP="00B647A8">
      <w:pPr>
        <w:spacing w:before="60" w:after="60" w:line="480" w:lineRule="auto"/>
        <w:jc w:val="center"/>
        <w:rPr>
          <w:rFonts w:cs="Arial"/>
          <w:b/>
          <w:szCs w:val="18"/>
        </w:rPr>
      </w:pPr>
      <w:r w:rsidRPr="00B647A8">
        <w:rPr>
          <w:rFonts w:cs="Arial"/>
          <w:b/>
          <w:szCs w:val="18"/>
        </w:rPr>
        <w:t>Wykaz Systemów Biorących Udział w Przetwarzaniu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4426"/>
      </w:tblGrid>
      <w:tr w:rsidR="00B647A8" w:rsidRPr="00B647A8" w14:paraId="49AE061E" w14:textId="77777777" w:rsidTr="00596E79">
        <w:tc>
          <w:tcPr>
            <w:tcW w:w="534" w:type="dxa"/>
            <w:shd w:val="clear" w:color="auto" w:fill="auto"/>
          </w:tcPr>
          <w:p w14:paraId="4CB79A2B" w14:textId="77777777" w:rsidR="00B647A8" w:rsidRPr="00B647A8" w:rsidRDefault="00B647A8" w:rsidP="00B647A8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B647A8">
              <w:rPr>
                <w:rFonts w:cs="Arial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3AA23F1C" w14:textId="77777777" w:rsidR="00B647A8" w:rsidRPr="00B647A8" w:rsidRDefault="00B647A8" w:rsidP="00B647A8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B647A8">
              <w:rPr>
                <w:rFonts w:cs="Arial"/>
                <w:szCs w:val="18"/>
              </w:rPr>
              <w:t>Nazwa systemu</w:t>
            </w:r>
          </w:p>
        </w:tc>
        <w:tc>
          <w:tcPr>
            <w:tcW w:w="4426" w:type="dxa"/>
            <w:shd w:val="clear" w:color="auto" w:fill="auto"/>
          </w:tcPr>
          <w:p w14:paraId="7D5BE6B1" w14:textId="77777777" w:rsidR="00B647A8" w:rsidRPr="00B647A8" w:rsidRDefault="00B647A8" w:rsidP="00B647A8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B647A8">
              <w:rPr>
                <w:rFonts w:cs="Arial"/>
                <w:szCs w:val="18"/>
              </w:rPr>
              <w:t>Cel wykorzystania</w:t>
            </w:r>
          </w:p>
        </w:tc>
      </w:tr>
      <w:tr w:rsidR="00B647A8" w:rsidRPr="00B647A8" w14:paraId="44FDBC5F" w14:textId="77777777" w:rsidTr="00596E79">
        <w:tc>
          <w:tcPr>
            <w:tcW w:w="534" w:type="dxa"/>
            <w:shd w:val="clear" w:color="auto" w:fill="auto"/>
          </w:tcPr>
          <w:p w14:paraId="342D8371" w14:textId="77777777" w:rsidR="00B647A8" w:rsidRPr="00B647A8" w:rsidRDefault="00B647A8" w:rsidP="00B647A8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B647A8">
              <w:rPr>
                <w:rFonts w:cs="Arial"/>
                <w:szCs w:val="18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51185806" w14:textId="77777777" w:rsidR="00B647A8" w:rsidRPr="00B647A8" w:rsidRDefault="00B647A8" w:rsidP="00B647A8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B647A8">
              <w:rPr>
                <w:rFonts w:cs="Arial"/>
                <w:szCs w:val="18"/>
              </w:rPr>
              <w:t>Microsoft Office</w:t>
            </w:r>
          </w:p>
        </w:tc>
        <w:tc>
          <w:tcPr>
            <w:tcW w:w="4426" w:type="dxa"/>
            <w:shd w:val="clear" w:color="auto" w:fill="auto"/>
          </w:tcPr>
          <w:p w14:paraId="2DF5AD15" w14:textId="77777777" w:rsidR="00B647A8" w:rsidRPr="00B647A8" w:rsidRDefault="00B647A8" w:rsidP="00B647A8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B647A8">
              <w:rPr>
                <w:rFonts w:cs="Arial"/>
                <w:szCs w:val="18"/>
              </w:rPr>
              <w:t>Przetwarzanie danych</w:t>
            </w:r>
          </w:p>
        </w:tc>
      </w:tr>
      <w:tr w:rsidR="00B647A8" w:rsidRPr="00B647A8" w14:paraId="6B0ED54A" w14:textId="77777777" w:rsidTr="00596E79">
        <w:tc>
          <w:tcPr>
            <w:tcW w:w="534" w:type="dxa"/>
            <w:shd w:val="clear" w:color="auto" w:fill="auto"/>
          </w:tcPr>
          <w:p w14:paraId="553055C3" w14:textId="77777777" w:rsidR="00B647A8" w:rsidRPr="00B647A8" w:rsidRDefault="00B647A8" w:rsidP="00B647A8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B647A8">
              <w:rPr>
                <w:rFonts w:cs="Arial"/>
                <w:szCs w:val="18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3A56FE18" w14:textId="77777777" w:rsidR="00B647A8" w:rsidRPr="00B647A8" w:rsidRDefault="00B647A8" w:rsidP="00B647A8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B647A8">
              <w:rPr>
                <w:rFonts w:cs="Arial"/>
                <w:szCs w:val="18"/>
              </w:rPr>
              <w:t>Klient poczty</w:t>
            </w:r>
          </w:p>
        </w:tc>
        <w:tc>
          <w:tcPr>
            <w:tcW w:w="4426" w:type="dxa"/>
            <w:shd w:val="clear" w:color="auto" w:fill="auto"/>
          </w:tcPr>
          <w:p w14:paraId="365EB9E8" w14:textId="77777777" w:rsidR="00B647A8" w:rsidRPr="00B647A8" w:rsidRDefault="00B647A8" w:rsidP="00B647A8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B647A8">
              <w:rPr>
                <w:rFonts w:cs="Arial"/>
                <w:szCs w:val="18"/>
              </w:rPr>
              <w:t>Przesyłanie danych</w:t>
            </w:r>
          </w:p>
        </w:tc>
      </w:tr>
    </w:tbl>
    <w:p w14:paraId="293CED95" w14:textId="5BFB0472" w:rsidR="00186CF4" w:rsidRPr="00FB1EF2" w:rsidRDefault="00130380" w:rsidP="00001D4C">
      <w:pPr>
        <w:spacing w:before="120" w:after="120" w:line="600" w:lineRule="auto"/>
        <w:ind w:firstLine="708"/>
      </w:pPr>
      <w:r w:rsidRPr="005E1B98">
        <w:rPr>
          <w:rFonts w:eastAsiaTheme="minorHAnsi" w:cs="Arial"/>
          <w:b/>
          <w:szCs w:val="18"/>
          <w:lang w:eastAsia="en-US"/>
        </w:rPr>
        <w:tab/>
      </w: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6EB15" w14:textId="77777777" w:rsidR="00850407" w:rsidRDefault="00850407" w:rsidP="00BD627E">
      <w:r>
        <w:separator/>
      </w:r>
    </w:p>
    <w:p w14:paraId="67F54D88" w14:textId="77777777" w:rsidR="00850407" w:rsidRDefault="00850407"/>
  </w:endnote>
  <w:endnote w:type="continuationSeparator" w:id="0">
    <w:p w14:paraId="1598D5CE" w14:textId="77777777" w:rsidR="00850407" w:rsidRDefault="00850407" w:rsidP="00BD627E">
      <w:r>
        <w:continuationSeparator/>
      </w:r>
    </w:p>
    <w:p w14:paraId="234F061F" w14:textId="77777777" w:rsidR="00850407" w:rsidRDefault="00850407"/>
  </w:endnote>
  <w:endnote w:type="continuationNotice" w:id="1">
    <w:p w14:paraId="102D793F" w14:textId="77777777" w:rsidR="00850407" w:rsidRDefault="00850407"/>
    <w:p w14:paraId="3B911F0F" w14:textId="77777777" w:rsidR="00850407" w:rsidRDefault="008504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bin">
    <w:altName w:val="Calibri"/>
    <w:panose1 w:val="00000000000000000000"/>
    <w:charset w:val="EE"/>
    <w:family w:val="auto"/>
    <w:pitch w:val="variable"/>
    <w:sig w:usb0="A00000FF" w:usb1="0000204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5717108A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72389">
              <w:rPr>
                <w:rFonts w:cs="Arial"/>
                <w:b/>
                <w:bCs/>
                <w:noProof/>
                <w:sz w:val="14"/>
                <w:szCs w:val="14"/>
              </w:rPr>
              <w:t>7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72389">
              <w:rPr>
                <w:rFonts w:cs="Arial"/>
                <w:b/>
                <w:bCs/>
                <w:noProof/>
                <w:sz w:val="14"/>
                <w:szCs w:val="14"/>
              </w:rPr>
              <w:t>7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1DE27408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72389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72389">
              <w:rPr>
                <w:rFonts w:cs="Arial"/>
                <w:b/>
                <w:bCs/>
                <w:noProof/>
                <w:sz w:val="14"/>
                <w:szCs w:val="14"/>
              </w:rPr>
              <w:t>7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08699" w14:textId="77777777" w:rsidR="00850407" w:rsidRDefault="00850407" w:rsidP="00BD627E">
      <w:r>
        <w:separator/>
      </w:r>
    </w:p>
    <w:p w14:paraId="23D862FE" w14:textId="77777777" w:rsidR="00850407" w:rsidRDefault="00850407"/>
  </w:footnote>
  <w:footnote w:type="continuationSeparator" w:id="0">
    <w:p w14:paraId="0963B992" w14:textId="77777777" w:rsidR="00850407" w:rsidRDefault="00850407" w:rsidP="00BD627E">
      <w:r>
        <w:continuationSeparator/>
      </w:r>
    </w:p>
    <w:p w14:paraId="51D2D4D4" w14:textId="77777777" w:rsidR="00850407" w:rsidRDefault="00850407"/>
  </w:footnote>
  <w:footnote w:type="continuationNotice" w:id="1">
    <w:p w14:paraId="2C1FAF02" w14:textId="77777777" w:rsidR="00850407" w:rsidRDefault="00850407"/>
    <w:p w14:paraId="568999CC" w14:textId="77777777" w:rsidR="00850407" w:rsidRDefault="008504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A7" w14:textId="764C22D7" w:rsidR="006715A5" w:rsidRPr="00024ECD" w:rsidRDefault="006545C1" w:rsidP="00CC5044">
    <w:pPr>
      <w:pStyle w:val="Nagwek"/>
      <w:tabs>
        <w:tab w:val="clear" w:pos="4536"/>
        <w:tab w:val="clear" w:pos="9072"/>
        <w:tab w:val="center" w:pos="5103"/>
        <w:tab w:val="right" w:pos="5245"/>
      </w:tabs>
      <w:ind w:left="1843" w:right="-426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1C8D" w:rsidRPr="00BB3409">
      <w:rPr>
        <w:sz w:val="14"/>
        <w:szCs w:val="14"/>
      </w:rPr>
      <w:ptab w:relativeTo="margin" w:alignment="center" w:leader="none"/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1AB52035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  <w:r w:rsidR="00CC5044">
      <w:rPr>
        <w:rFonts w:cs="Arial"/>
        <w:sz w:val="14"/>
        <w:szCs w:val="14"/>
      </w:rPr>
      <w:tab/>
    </w:r>
  </w:p>
  <w:p w14:paraId="293CEDB1" w14:textId="4A5F73C8" w:rsidR="007376CC" w:rsidRPr="00024ECD" w:rsidRDefault="00CC5044" w:rsidP="00CC5044">
    <w:pPr>
      <w:pStyle w:val="Nagwek"/>
      <w:tabs>
        <w:tab w:val="clear" w:pos="4536"/>
        <w:tab w:val="center" w:pos="4820"/>
        <w:tab w:val="left" w:pos="7371"/>
      </w:tabs>
      <w:ind w:right="-143"/>
      <w:jc w:val="right"/>
      <w:rPr>
        <w:rFonts w:cs="Arial"/>
      </w:rPr>
    </w:pP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60165660">
    <w:abstractNumId w:val="12"/>
  </w:num>
  <w:num w:numId="2" w16cid:durableId="857163009">
    <w:abstractNumId w:val="11"/>
  </w:num>
  <w:num w:numId="3" w16cid:durableId="903373700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575551032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932931123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2020228388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595286558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270287673">
    <w:abstractNumId w:val="8"/>
  </w:num>
  <w:num w:numId="9" w16cid:durableId="705718421">
    <w:abstractNumId w:val="18"/>
  </w:num>
  <w:num w:numId="10" w16cid:durableId="1120026030">
    <w:abstractNumId w:val="14"/>
  </w:num>
  <w:num w:numId="11" w16cid:durableId="1592006278">
    <w:abstractNumId w:val="2"/>
  </w:num>
  <w:num w:numId="12" w16cid:durableId="1689676284">
    <w:abstractNumId w:val="5"/>
  </w:num>
  <w:num w:numId="13" w16cid:durableId="1137331222">
    <w:abstractNumId w:val="7"/>
  </w:num>
  <w:num w:numId="14" w16cid:durableId="99374208">
    <w:abstractNumId w:val="16"/>
  </w:num>
  <w:num w:numId="15" w16cid:durableId="1664815244">
    <w:abstractNumId w:val="20"/>
  </w:num>
  <w:num w:numId="16" w16cid:durableId="530731843">
    <w:abstractNumId w:val="10"/>
  </w:num>
  <w:num w:numId="17" w16cid:durableId="1548495781">
    <w:abstractNumId w:val="13"/>
  </w:num>
  <w:num w:numId="18" w16cid:durableId="1660503884">
    <w:abstractNumId w:val="1"/>
  </w:num>
  <w:num w:numId="19" w16cid:durableId="1834833563">
    <w:abstractNumId w:val="22"/>
  </w:num>
  <w:num w:numId="20" w16cid:durableId="1314290744">
    <w:abstractNumId w:val="21"/>
  </w:num>
  <w:num w:numId="21" w16cid:durableId="1473715301">
    <w:abstractNumId w:val="6"/>
  </w:num>
  <w:num w:numId="22" w16cid:durableId="87193018">
    <w:abstractNumId w:val="17"/>
  </w:num>
  <w:num w:numId="23" w16cid:durableId="1189874878">
    <w:abstractNumId w:val="0"/>
  </w:num>
  <w:num w:numId="24" w16cid:durableId="1036589864">
    <w:abstractNumId w:val="15"/>
  </w:num>
  <w:num w:numId="25" w16cid:durableId="1055852384">
    <w:abstractNumId w:val="9"/>
  </w:num>
  <w:num w:numId="26" w16cid:durableId="1110471119">
    <w:abstractNumId w:val="23"/>
  </w:num>
  <w:num w:numId="27" w16cid:durableId="851382203">
    <w:abstractNumId w:val="19"/>
  </w:num>
  <w:num w:numId="28" w16cid:durableId="177550735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1D4C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2389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17A4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1FFE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411D7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0971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4573E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B76BF"/>
    <w:rsid w:val="002C17B0"/>
    <w:rsid w:val="002C1A2B"/>
    <w:rsid w:val="002C5984"/>
    <w:rsid w:val="002C6224"/>
    <w:rsid w:val="002C77A0"/>
    <w:rsid w:val="002D057D"/>
    <w:rsid w:val="002D338E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C79B8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377E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5020"/>
    <w:rsid w:val="00846C1E"/>
    <w:rsid w:val="00847BE0"/>
    <w:rsid w:val="00850407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97707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2FD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4C2F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47A8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162F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2D1D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C5044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1406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Wzór umowy powierzenia przetwarzania danych osobowych.docx</dmsv2BaseFileName>
    <dmsv2BaseDisplayName xmlns="http://schemas.microsoft.com/sharepoint/v3">Załącznik nr 7 – Wzór umowy powierzenia przetwarzania danych osobowych</dmsv2BaseDisplayName>
    <dmsv2SWPP2ObjectNumber xmlns="http://schemas.microsoft.com/sharepoint/v3">POST/DYS/OR/GZ/04504/2025                         </dmsv2SWPP2ObjectNumber>
    <dmsv2SWPP2SumMD5 xmlns="http://schemas.microsoft.com/sharepoint/v3">8906b1536dff1c514d56af1ee6d8f8f3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701620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24019658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00000001000700030000000f000000000001</dmsv2SWPP2ObjectDepartment>
    <dmsv2SWPP2ObjectName xmlns="http://schemas.microsoft.com/sharepoint/v3">Postępowanie</dmsv2SWPP2ObjectName>
    <_dlc_DocId xmlns="a19cb1c7-c5c7-46d4-85ae-d83685407bba">JEUP5JKVCYQC-1133723987-19591</_dlc_DocId>
    <_dlc_DocIdUrl xmlns="a19cb1c7-c5c7-46d4-85ae-d83685407bba">
      <Url>https://swpp2.dms.gkpge.pl/sites/41/_layouts/15/DocIdRedir.aspx?ID=JEUP5JKVCYQC-1133723987-19591</Url>
      <Description>JEUP5JKVCYQC-1133723987-19591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2.xml><?xml version="1.0" encoding="utf-8"?>
<ds:datastoreItem xmlns:ds="http://schemas.openxmlformats.org/officeDocument/2006/customXml" ds:itemID="{FFD3A1D7-6702-4209-80CA-5F71CC3769B8}"/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7F9350-889A-4124-88C4-A931FB286E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DA7809-0AD4-45A1-A55C-00AC1F4EAB0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2E4F7E7-08C8-46B8-9C0B-105701F0728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4D83193-1E24-4002-9C67-A5E7C93C9FDD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6</TotalTime>
  <Pages>7</Pages>
  <Words>2900</Words>
  <Characters>17400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20260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Kania Grzegorz [PGE Dystr. O.Rzeszów]</cp:lastModifiedBy>
  <cp:revision>7</cp:revision>
  <cp:lastPrinted>2025-08-07T06:51:00Z</cp:lastPrinted>
  <dcterms:created xsi:type="dcterms:W3CDTF">2025-08-07T06:49:00Z</dcterms:created>
  <dcterms:modified xsi:type="dcterms:W3CDTF">2025-12-18T07:01:00Z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1343f72e-8c3e-47cf-846a-61b673dcfaa7</vt:lpwstr>
  </property>
</Properties>
</file>